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2310CD" w14:textId="77777777" w:rsidR="00063F0A" w:rsidRPr="00A51562" w:rsidRDefault="00063F0A" w:rsidP="00A51562">
      <w:pPr>
        <w:ind w:left="-426" w:right="-284"/>
        <w:rPr>
          <w:b/>
          <w:bCs/>
          <w:sz w:val="28"/>
          <w:szCs w:val="28"/>
        </w:rPr>
      </w:pPr>
      <w:r w:rsidRPr="00A51562">
        <w:rPr>
          <w:b/>
          <w:bCs/>
          <w:sz w:val="28"/>
          <w:szCs w:val="28"/>
        </w:rPr>
        <w:t>QUADRILL TABAKFABRIK LINZ</w:t>
      </w:r>
    </w:p>
    <w:p w14:paraId="674841DE" w14:textId="77777777" w:rsidR="00063F0A" w:rsidRPr="00A51562" w:rsidRDefault="00063F0A" w:rsidP="00A51562">
      <w:pPr>
        <w:ind w:left="-426" w:right="-284"/>
        <w:rPr>
          <w:b/>
          <w:bCs/>
        </w:rPr>
      </w:pPr>
      <w:r w:rsidRPr="00A51562">
        <w:rPr>
          <w:b/>
          <w:bCs/>
        </w:rPr>
        <w:t>A new landmark and urban catalyst within the historic industrial complex</w:t>
      </w:r>
    </w:p>
    <w:p w14:paraId="5A13C0BB" w14:textId="77777777" w:rsidR="00063F0A" w:rsidRDefault="00063F0A" w:rsidP="00A51562">
      <w:pPr>
        <w:ind w:left="-426" w:right="-284"/>
      </w:pPr>
    </w:p>
    <w:p w14:paraId="42D5B308" w14:textId="77777777" w:rsidR="00063F0A" w:rsidRDefault="00063F0A" w:rsidP="00A51562">
      <w:pPr>
        <w:ind w:left="-426" w:right="-284"/>
      </w:pPr>
      <w:r>
        <w:t>With the QUADRILL project, the Tabakfabrik Linz is undergoing a significant urban and architectural transformation. The industrial building, constructed in 1935 according to plans by Peter Behrens and Alexander Popp—Austria’s first steel-frame structure in the spirit of New Objectivity—is being complemented by a contemporary ensemble that respects the historical context while simultaneously forging a new urban identity. Following the City of Linz’s acquisition of the 38,000 m² site in 2010, the Tabakfabrik gradually evolved into a hub for the creative industries and digitalization. With QUADRILL, this transformation is now complete both spatially and functionally.</w:t>
      </w:r>
    </w:p>
    <w:p w14:paraId="1B41FF5E" w14:textId="77777777" w:rsidR="00063F0A" w:rsidRPr="00D251EB" w:rsidRDefault="00063F0A" w:rsidP="00A51562">
      <w:pPr>
        <w:ind w:left="-426" w:right="-284"/>
        <w:rPr>
          <w:b/>
          <w:bCs/>
        </w:rPr>
      </w:pPr>
      <w:r w:rsidRPr="00D251EB">
        <w:rPr>
          <w:b/>
          <w:bCs/>
        </w:rPr>
        <w:t>Urban Redevelopment and Opening of the Site</w:t>
      </w:r>
    </w:p>
    <w:p w14:paraId="4DEE7B3C" w14:textId="77777777" w:rsidR="00063F0A" w:rsidRDefault="00063F0A" w:rsidP="00A51562">
      <w:pPr>
        <w:ind w:left="-426" w:right="-284"/>
      </w:pPr>
      <w:r>
        <w:t>The ensemble, designed by Zechner &amp; Zechner and realized following a unanimous competition decision in 2017, serves as the complex’s new front building and as an interface between the existing structure and the city. The formerly introverted factory structure is deliberately opened up and transformed into a permeable, urban building block. Along Gruberstraße, a generously proportioned entrance marks the new access point and serves as a distribution hub into the neighborhood.</w:t>
      </w:r>
    </w:p>
    <w:p w14:paraId="50FA8E94" w14:textId="77777777" w:rsidR="00063F0A" w:rsidRDefault="00063F0A" w:rsidP="00A51562">
      <w:pPr>
        <w:ind w:left="-426" w:right="-284"/>
      </w:pPr>
      <w:r>
        <w:t>The volumetric arrangement responds sensitively to the historical context: low-rise structures bridge the gap to the existing buildings, while the height increases toward the northwest, culminating in the 109-meter-tall Quadrill Tower. This forms a vertical counterpart to the horizontally expansive Behrens Wing and establishes itself as a landmark visible from afar within the urban fabric of Linz.</w:t>
      </w:r>
    </w:p>
    <w:p w14:paraId="373C9F2E" w14:textId="77777777" w:rsidR="00063F0A" w:rsidRPr="00D251EB" w:rsidRDefault="00063F0A" w:rsidP="00A51562">
      <w:pPr>
        <w:ind w:left="-426" w:right="-284"/>
        <w:rPr>
          <w:b/>
          <w:bCs/>
        </w:rPr>
      </w:pPr>
      <w:r w:rsidRPr="00D251EB">
        <w:rPr>
          <w:b/>
          <w:bCs/>
        </w:rPr>
        <w:t>Open Space Concept: Two Levels, a Coherent Urban Space</w:t>
      </w:r>
    </w:p>
    <w:p w14:paraId="2BB37244" w14:textId="77777777" w:rsidR="00063F0A" w:rsidRDefault="00063F0A" w:rsidP="00A51562">
      <w:pPr>
        <w:ind w:left="-426" w:right="-284"/>
      </w:pPr>
      <w:r>
        <w:t>A central design motif is the creation of a continuous public space system across two levels. In addition to the classic street level—the so-called Behrensplatz—a second, elevated open-space layer is established with the “Behrensband” at the level of the first upper floor.</w:t>
      </w:r>
    </w:p>
    <w:p w14:paraId="1E336A48" w14:textId="77777777" w:rsidR="00063F0A" w:rsidRDefault="00063F0A" w:rsidP="00A51562">
      <w:pPr>
        <w:ind w:left="-426" w:right="-284"/>
      </w:pPr>
      <w:r>
        <w:t>This rooftop landscape is far more than mere access: it functions as an urban gathering space with a high quality of stay, links the four building structures together, and spatially integrates the historic fabric. Staircases and grandstand-like elements interconnect the levels, creating diverse visual and functional relationships. The result is a multi-layered urban space that equally integrates movement, recreation, and program.</w:t>
      </w:r>
    </w:p>
    <w:p w14:paraId="3580FBE3" w14:textId="77777777" w:rsidR="00063F0A" w:rsidRPr="00D251EB" w:rsidRDefault="00063F0A" w:rsidP="00A51562">
      <w:pPr>
        <w:ind w:left="-426" w:right="-284"/>
        <w:rPr>
          <w:b/>
          <w:bCs/>
        </w:rPr>
      </w:pPr>
      <w:r w:rsidRPr="00D251EB">
        <w:rPr>
          <w:b/>
          <w:bCs/>
        </w:rPr>
        <w:t>Mixed-use and programmatic density</w:t>
      </w:r>
    </w:p>
    <w:p w14:paraId="304C01FE" w14:textId="77777777" w:rsidR="00063F0A" w:rsidRDefault="00063F0A" w:rsidP="00A51562">
      <w:pPr>
        <w:ind w:left="-426" w:right="-284"/>
      </w:pPr>
      <w:r>
        <w:t>QUADRILL stands as a paradigm of a contemporary, hybrid urban structure. Instead of monofunctional zoning, the project relies on a vertical and horizontal layering of diverse uses. Approximately 1,000 workspaces and about 180 apartments, together with a hotel, restaurants, retail, fitness, and event spaces, form a dense, urban fabric.</w:t>
      </w:r>
    </w:p>
    <w:p w14:paraId="6EF52E89" w14:textId="6C7828CA" w:rsidR="00063F0A" w:rsidRDefault="00063F0A" w:rsidP="00A51562">
      <w:pPr>
        <w:ind w:left="-426" w:right="-284"/>
      </w:pPr>
      <w:r>
        <w:t>At the center stands the Quadrill Tower, which sets new standards as Austria’s tallest office and hotel building outside of Vienna. In addition to 189 hotel rooms spread across eight levels, it houses 15 floors of flexible office space as well as a publicly accessible sky restaurant with a bar and a terrace. The hotel’s interior design, led by Monika Breu, complements the overall architectural concept with a precisely crafted atmospheric dimension.</w:t>
      </w:r>
    </w:p>
    <w:p w14:paraId="4F071FA0" w14:textId="77777777" w:rsidR="00063F0A" w:rsidRDefault="00063F0A" w:rsidP="00A51562">
      <w:pPr>
        <w:ind w:left="-426" w:right="-284"/>
      </w:pPr>
      <w:r>
        <w:t>The ground floor and first floor are characterized by increased ceiling heights, ensuring long-term flexibility of use. The deliberate “division” of the total volume into individual building sections further supports this adaptability.</w:t>
      </w:r>
    </w:p>
    <w:p w14:paraId="47B7D844" w14:textId="77777777" w:rsidR="00D251EB" w:rsidRDefault="00D251EB">
      <w:pPr>
        <w:rPr>
          <w:b/>
          <w:bCs/>
        </w:rPr>
      </w:pPr>
      <w:r>
        <w:rPr>
          <w:b/>
          <w:bCs/>
        </w:rPr>
        <w:br w:type="page"/>
      </w:r>
    </w:p>
    <w:p w14:paraId="5FAC4466" w14:textId="34875AEC" w:rsidR="00063F0A" w:rsidRPr="00D251EB" w:rsidRDefault="00063F0A" w:rsidP="00A51562">
      <w:pPr>
        <w:ind w:left="-426" w:right="-284"/>
        <w:rPr>
          <w:b/>
          <w:bCs/>
        </w:rPr>
      </w:pPr>
      <w:r w:rsidRPr="00D251EB">
        <w:rPr>
          <w:b/>
          <w:bCs/>
        </w:rPr>
        <w:lastRenderedPageBreak/>
        <w:t>New typologies of working and living</w:t>
      </w:r>
    </w:p>
    <w:p w14:paraId="6EC8EB1F" w14:textId="77777777" w:rsidR="00063F0A" w:rsidRDefault="00063F0A" w:rsidP="00A51562">
      <w:pPr>
        <w:ind w:left="-426" w:right="-284"/>
      </w:pPr>
      <w:r>
        <w:t>The work environments at QUADRILL follow an open, interconnected concept: Terraces, outdoor workspaces, and communal areas expand upon traditional office structures. This spatial permeability is complemented by a wide range of dining and recreational options, creating a high quality of life throughout the day.</w:t>
      </w:r>
    </w:p>
    <w:p w14:paraId="2CF0FDF2" w14:textId="77777777" w:rsidR="00063F0A" w:rsidRDefault="00063F0A" w:rsidP="00A51562">
      <w:pPr>
        <w:ind w:left="-426" w:right="-284"/>
      </w:pPr>
      <w:r>
        <w:t>At the same time, the project integrates residential spaces in the immediate vicinity of workplaces. The predominantly compact residential units respond to changing lifestyles and enable short commutes between home and work. In this way, QUADRILL represents a deliberate departure from functionally segregated urban structures and formulates a contemporary model of mixed-use urban development.</w:t>
      </w:r>
    </w:p>
    <w:p w14:paraId="71A3CBDC" w14:textId="77777777" w:rsidR="00A51562" w:rsidRPr="00D251EB" w:rsidRDefault="00A51562" w:rsidP="00A51562">
      <w:pPr>
        <w:ind w:left="-426" w:right="-284"/>
        <w:rPr>
          <w:b/>
          <w:bCs/>
        </w:rPr>
      </w:pPr>
      <w:r w:rsidRPr="00D251EB">
        <w:rPr>
          <w:b/>
          <w:bCs/>
        </w:rPr>
        <w:t>Architectural Expression and Materiality</w:t>
      </w:r>
    </w:p>
    <w:p w14:paraId="34EFAD2E" w14:textId="2BA73168" w:rsidR="0046109B" w:rsidRDefault="0046109B" w:rsidP="00A51562">
      <w:pPr>
        <w:ind w:left="-426" w:right="-284"/>
      </w:pPr>
      <w:r w:rsidRPr="0046109B">
        <w:t>The architectural style of the new buildings is deliberately designed not to compete with the historic, listed structures. With its clinker brick façade, the base of the building echoes the materials used in the historic buildings and creates a connecting element between old and new.</w:t>
      </w:r>
    </w:p>
    <w:p w14:paraId="67D4C68B" w14:textId="77777777" w:rsidR="00A51562" w:rsidRDefault="00A51562" w:rsidP="00A51562">
      <w:pPr>
        <w:ind w:left="-426" w:right="-284"/>
      </w:pPr>
      <w:r>
        <w:t>The tower, on the other hand, develops a distinct, differentiated façade structure: the double-shell elements are sculpturally unfolded in the lower section and taper as they rise. The façade joints are reduced toward the top, causing the building envelope to become increasingly smooth and serene—a subtle transition from sculptural presence to abstract verticality.</w:t>
      </w:r>
    </w:p>
    <w:p w14:paraId="68D19EA8" w14:textId="77777777" w:rsidR="00A51562" w:rsidRPr="00D251EB" w:rsidRDefault="00A51562" w:rsidP="00A51562">
      <w:pPr>
        <w:ind w:left="-426" w:right="-284"/>
        <w:rPr>
          <w:b/>
          <w:bCs/>
        </w:rPr>
      </w:pPr>
      <w:r w:rsidRPr="00D251EB">
        <w:rPr>
          <w:b/>
          <w:bCs/>
        </w:rPr>
        <w:t>Roofscapes as Extended Urban Space</w:t>
      </w:r>
    </w:p>
    <w:p w14:paraId="4CC07CE8" w14:textId="77777777" w:rsidR="00A51562" w:rsidRDefault="00A51562" w:rsidP="00A51562">
      <w:pPr>
        <w:ind w:left="-426" w:right="-284"/>
      </w:pPr>
      <w:r>
        <w:t>The intensive use of the roof areas is an integral part of the design concept. In addition to the publicly accessible Behrensband, the roofs of the lower structures serve as play, sports, and recreational areas. These distinctively designed open spaces—planned by the landscape architecture firm Korbwurf—are recognizable as independent activity zones and extend the urban space vertically.</w:t>
      </w:r>
    </w:p>
    <w:p w14:paraId="0F849D03" w14:textId="77777777" w:rsidR="00A51562" w:rsidRDefault="00A51562" w:rsidP="00A51562">
      <w:pPr>
        <w:ind w:left="-426" w:right="-284"/>
      </w:pPr>
      <w:r>
        <w:t>Public access to the top level of the tower completes this strategy and makes the Linz skyline spatially experiential.</w:t>
      </w:r>
    </w:p>
    <w:p w14:paraId="6D882F90" w14:textId="77777777" w:rsidR="00A51562" w:rsidRPr="00D251EB" w:rsidRDefault="00A51562" w:rsidP="00A51562">
      <w:pPr>
        <w:ind w:left="-426" w:right="-284"/>
        <w:rPr>
          <w:b/>
          <w:bCs/>
        </w:rPr>
      </w:pPr>
      <w:r w:rsidRPr="00D251EB">
        <w:rPr>
          <w:b/>
          <w:bCs/>
        </w:rPr>
        <w:t>Sustainability as an integral design approach</w:t>
      </w:r>
    </w:p>
    <w:p w14:paraId="1C959F5A" w14:textId="77777777" w:rsidR="00A51562" w:rsidRDefault="00A51562" w:rsidP="00A51562">
      <w:pPr>
        <w:ind w:left="-426" w:right="-284"/>
      </w:pPr>
      <w:r>
        <w:t>The sustainable design of the neighborhood follows a holistic approach. The energy supply is based primarily on groundwater utilization via heat pumps, supplemented by photovoltaic systems on the roof surfaces. District heating and cooling are used solely to cover peak loads. A dedicated well ensures the irrigation of green spaces.</w:t>
      </w:r>
    </w:p>
    <w:p w14:paraId="330EF2DF" w14:textId="77777777" w:rsidR="00A51562" w:rsidRDefault="00A51562" w:rsidP="00A51562">
      <w:pPr>
        <w:ind w:left="-426" w:right="-284"/>
      </w:pPr>
      <w:r>
        <w:t>Certifications according to ÖGNI and klimaaktiv reflect this commitment, with ecological performance going hand in hand with economic efficiency. Low operating costs are a direct result of the optimized energy concepts.</w:t>
      </w:r>
    </w:p>
    <w:p w14:paraId="5F88312C" w14:textId="77777777" w:rsidR="00A51562" w:rsidRDefault="00A51562" w:rsidP="00A51562">
      <w:pPr>
        <w:ind w:left="-426" w:right="-284"/>
      </w:pPr>
      <w:r>
        <w:t>Furthermore, sustainability is also understood as a cultural and social category. The long-term usability, flexibility, and identity-forming qualities of the architecture are central. In this regard, QUADRILL builds on the qualities of the historic fabric: the buildings designed by Behrens remain functional even after more than eight decades due to their spatial generosity and adaptability—a standard that the new ensemble consciously continues.</w:t>
      </w:r>
    </w:p>
    <w:p w14:paraId="06D34EDD" w14:textId="77777777" w:rsidR="00A51562" w:rsidRDefault="00A51562" w:rsidP="00A51562">
      <w:pPr>
        <w:ind w:left="-426" w:right="-284"/>
      </w:pPr>
      <w:r>
        <w:t>With QUADRILL, the Tabakfabrik Linz is finally transformed from an industrial production site into an open, mixed-use urban quarter. The project combines historic substance with contemporary architecture, consolidates urban functions, and creates a new identity-forming place within the fabric of the city.</w:t>
      </w:r>
    </w:p>
    <w:p w14:paraId="73851AA5" w14:textId="77777777" w:rsidR="00A51562" w:rsidRDefault="00A51562" w:rsidP="00D251EB">
      <w:pPr>
        <w:ind w:left="-426"/>
      </w:pPr>
    </w:p>
    <w:p w14:paraId="79FC01F8" w14:textId="77777777" w:rsidR="00D251EB" w:rsidRDefault="00D251EB">
      <w:r>
        <w:br w:type="page"/>
      </w:r>
    </w:p>
    <w:p w14:paraId="09959747" w14:textId="531567FE" w:rsidR="00A51562" w:rsidRDefault="00A51562" w:rsidP="00AE44CB">
      <w:pPr>
        <w:pStyle w:val="KeinLeerraum"/>
        <w:ind w:left="-426"/>
      </w:pPr>
      <w:r>
        <w:lastRenderedPageBreak/>
        <w:t>Address:</w:t>
      </w:r>
      <w:r w:rsidR="00D251EB">
        <w:tab/>
      </w:r>
      <w:r w:rsidR="00D251EB">
        <w:tab/>
      </w:r>
      <w:r w:rsidR="00D251EB">
        <w:tab/>
      </w:r>
      <w:r>
        <w:t>Gruberstraße, Untere Donaulände, Ludlgasse, 4020 Linz</w:t>
      </w:r>
      <w:r w:rsidR="007E0B6F">
        <w:t>, Austria</w:t>
      </w:r>
    </w:p>
    <w:p w14:paraId="4AD9453A" w14:textId="2BA208BF" w:rsidR="00A51562" w:rsidRDefault="00A51562" w:rsidP="00AE44CB">
      <w:pPr>
        <w:pStyle w:val="KeinLeerraum"/>
        <w:ind w:left="-426"/>
      </w:pPr>
      <w:r>
        <w:t>Client:</w:t>
      </w:r>
      <w:r w:rsidR="00D251EB">
        <w:tab/>
      </w:r>
      <w:r w:rsidR="00D251EB">
        <w:tab/>
      </w:r>
      <w:r w:rsidR="00D251EB">
        <w:tab/>
      </w:r>
      <w:r>
        <w:t>Bodner Group, Kufstein</w:t>
      </w:r>
    </w:p>
    <w:p w14:paraId="08F38D52" w14:textId="02364548" w:rsidR="00D251EB" w:rsidRDefault="00A51562" w:rsidP="00AE44CB">
      <w:pPr>
        <w:pStyle w:val="KeinLeerraum"/>
        <w:ind w:left="-426"/>
      </w:pPr>
      <w:r>
        <w:t>General Planning:</w:t>
      </w:r>
      <w:r w:rsidR="00D251EB">
        <w:tab/>
      </w:r>
      <w:r w:rsidR="00D251EB">
        <w:tab/>
      </w:r>
      <w:r>
        <w:t>Zechner &amp; Zechner, Vienna</w:t>
      </w:r>
    </w:p>
    <w:p w14:paraId="4A8B9C63" w14:textId="500FCB35" w:rsidR="00A51562" w:rsidRDefault="00A51562" w:rsidP="00AE44CB">
      <w:pPr>
        <w:pStyle w:val="KeinLeerraum"/>
        <w:ind w:left="-426" w:firstLine="1134"/>
      </w:pPr>
      <w:r>
        <w:t>Structural Engineering:</w:t>
      </w:r>
      <w:r w:rsidR="00D251EB">
        <w:tab/>
      </w:r>
      <w:r w:rsidR="00D251EB">
        <w:tab/>
      </w:r>
      <w:r>
        <w:t>Thomas Lorenz ZT, Graz</w:t>
      </w:r>
    </w:p>
    <w:p w14:paraId="68FB623F" w14:textId="67A16422" w:rsidR="00A51562" w:rsidRDefault="00A51562" w:rsidP="00AE44CB">
      <w:pPr>
        <w:pStyle w:val="KeinLeerraum"/>
        <w:ind w:left="-426"/>
      </w:pPr>
      <w:r>
        <w:tab/>
      </w:r>
      <w:r w:rsidR="00D251EB">
        <w:tab/>
      </w:r>
      <w:r>
        <w:t>Building Services:</w:t>
      </w:r>
      <w:r w:rsidR="00D251EB">
        <w:tab/>
      </w:r>
      <w:r w:rsidR="00D251EB">
        <w:tab/>
      </w:r>
      <w:r>
        <w:t>Die Haustechniker, Jennersdorf</w:t>
      </w:r>
    </w:p>
    <w:p w14:paraId="0EF4F464" w14:textId="4460CC79" w:rsidR="00A51562" w:rsidRDefault="00A51562" w:rsidP="00AE44CB">
      <w:pPr>
        <w:pStyle w:val="KeinLeerraum"/>
        <w:ind w:left="-426" w:firstLine="1134"/>
      </w:pPr>
      <w:r>
        <w:t>Building Physics:</w:t>
      </w:r>
      <w:r w:rsidR="00D251EB">
        <w:tab/>
      </w:r>
      <w:r w:rsidR="00D251EB">
        <w:tab/>
      </w:r>
      <w:r>
        <w:t>Dr. Pfeiler, Graz</w:t>
      </w:r>
    </w:p>
    <w:p w14:paraId="66504A36" w14:textId="3987BB22" w:rsidR="00A51562" w:rsidRDefault="00A51562" w:rsidP="00AE44CB">
      <w:pPr>
        <w:pStyle w:val="KeinLeerraum"/>
        <w:ind w:left="-426" w:firstLine="1134"/>
      </w:pPr>
      <w:r>
        <w:t>Fire Protection:</w:t>
      </w:r>
      <w:r w:rsidR="00D251EB">
        <w:tab/>
      </w:r>
      <w:r w:rsidR="00D251EB">
        <w:tab/>
      </w:r>
      <w:r w:rsidR="00D251EB">
        <w:tab/>
      </w:r>
      <w:r>
        <w:t>Brandschütz, Vienna</w:t>
      </w:r>
    </w:p>
    <w:p w14:paraId="313BE810" w14:textId="090703CB" w:rsidR="00A51562" w:rsidRDefault="00A51562" w:rsidP="00AE44CB">
      <w:pPr>
        <w:pStyle w:val="KeinLeerraum"/>
        <w:ind w:left="-426" w:firstLine="1134"/>
      </w:pPr>
      <w:r>
        <w:t>Landscape Architecture:</w:t>
      </w:r>
      <w:r w:rsidR="00D251EB">
        <w:tab/>
      </w:r>
      <w:r>
        <w:t>Korbwurf, Vienna</w:t>
      </w:r>
    </w:p>
    <w:p w14:paraId="62427D9C" w14:textId="7EEFF442" w:rsidR="00A51562" w:rsidRDefault="00A51562" w:rsidP="00AE44CB">
      <w:pPr>
        <w:pStyle w:val="KeinLeerraum"/>
        <w:ind w:left="-426" w:firstLine="1134"/>
      </w:pPr>
      <w:r>
        <w:t>Hotel Design:</w:t>
      </w:r>
      <w:r w:rsidR="00D251EB">
        <w:tab/>
      </w:r>
      <w:r w:rsidR="00D251EB">
        <w:tab/>
      </w:r>
      <w:r w:rsidR="00D251EB">
        <w:tab/>
      </w:r>
      <w:r>
        <w:t>Monika Breu / Zechner &amp; Zechner, Vienna</w:t>
      </w:r>
    </w:p>
    <w:p w14:paraId="2BD9B4AC" w14:textId="2530A9B8" w:rsidR="00A51562" w:rsidRDefault="00A51562" w:rsidP="00AE44CB">
      <w:pPr>
        <w:pStyle w:val="KeinLeerraum"/>
        <w:ind w:left="-426"/>
      </w:pPr>
      <w:r>
        <w:t>General Contractor:</w:t>
      </w:r>
      <w:r w:rsidR="00D251EB">
        <w:tab/>
      </w:r>
      <w:r w:rsidR="00D251EB">
        <w:tab/>
      </w:r>
      <w:r>
        <w:t>ARGE Bodner / Dywidag</w:t>
      </w:r>
    </w:p>
    <w:p w14:paraId="59F4ECA5" w14:textId="770C8FFA" w:rsidR="00A51562" w:rsidRDefault="00A51562" w:rsidP="00AE44CB">
      <w:pPr>
        <w:pStyle w:val="KeinLeerraum"/>
        <w:ind w:left="-426"/>
      </w:pPr>
      <w:r>
        <w:t>Competition:</w:t>
      </w:r>
      <w:r>
        <w:tab/>
      </w:r>
      <w:r>
        <w:tab/>
        <w:t>2017</w:t>
      </w:r>
    </w:p>
    <w:p w14:paraId="24275EB1" w14:textId="45426845" w:rsidR="00A51562" w:rsidRDefault="00A51562" w:rsidP="00AE44CB">
      <w:pPr>
        <w:pStyle w:val="KeinLeerraum"/>
        <w:ind w:left="-426"/>
      </w:pPr>
      <w:r>
        <w:t>Completion:</w:t>
      </w:r>
      <w:r w:rsidR="00D251EB">
        <w:tab/>
      </w:r>
      <w:r w:rsidR="00D251EB">
        <w:tab/>
      </w:r>
      <w:r w:rsidR="00D251EB">
        <w:tab/>
      </w:r>
      <w:r>
        <w:t>2026</w:t>
      </w:r>
    </w:p>
    <w:p w14:paraId="15688398" w14:textId="57CB6FAA" w:rsidR="00A51562" w:rsidRDefault="00A51562" w:rsidP="00AE44CB">
      <w:pPr>
        <w:pStyle w:val="KeinLeerraum"/>
        <w:ind w:left="-426"/>
      </w:pPr>
      <w:r>
        <w:t>Gross floor area:</w:t>
      </w:r>
      <w:r w:rsidR="00D251EB">
        <w:tab/>
      </w:r>
      <w:r w:rsidR="00D251EB">
        <w:tab/>
      </w:r>
      <w:r>
        <w:t>54,000 m² above ground, 31,300 m² below ground</w:t>
      </w:r>
    </w:p>
    <w:p w14:paraId="658D2925" w14:textId="4AA9382C" w:rsidR="00A51562" w:rsidRDefault="00A51562" w:rsidP="00AE44CB">
      <w:pPr>
        <w:pStyle w:val="KeinLeerraum"/>
        <w:ind w:left="-426"/>
      </w:pPr>
      <w:r>
        <w:t>Net floor area:</w:t>
      </w:r>
      <w:r w:rsidR="00D251EB">
        <w:tab/>
      </w:r>
      <w:r w:rsidR="00D251EB">
        <w:tab/>
      </w:r>
      <w:r>
        <w:t>49,500 m² above ground, 29,100 m² below ground</w:t>
      </w:r>
    </w:p>
    <w:p w14:paraId="737062DB" w14:textId="5681772E" w:rsidR="00A51562" w:rsidRDefault="00A51562" w:rsidP="00AE44CB">
      <w:pPr>
        <w:pStyle w:val="KeinLeerraum"/>
        <w:ind w:left="-426"/>
      </w:pPr>
      <w:r>
        <w:t>Photos:</w:t>
      </w:r>
      <w:r w:rsidR="00D251EB">
        <w:tab/>
      </w:r>
      <w:r w:rsidR="00D251EB">
        <w:tab/>
      </w:r>
      <w:r w:rsidR="00D251EB">
        <w:tab/>
      </w:r>
      <w:r>
        <w:t>Pierer.net</w:t>
      </w:r>
    </w:p>
    <w:p w14:paraId="398D5369" w14:textId="77777777" w:rsidR="00A51562" w:rsidRDefault="00A51562" w:rsidP="00AE44CB">
      <w:pPr>
        <w:pStyle w:val="KeinLeerraum"/>
        <w:ind w:left="-426"/>
      </w:pPr>
    </w:p>
    <w:p w14:paraId="7DC5B3B0" w14:textId="77777777" w:rsidR="00A51562" w:rsidRPr="00D251EB" w:rsidRDefault="00A51562" w:rsidP="00AE44CB">
      <w:pPr>
        <w:pStyle w:val="KeinLeerraum"/>
        <w:ind w:left="-426"/>
        <w:rPr>
          <w:b/>
          <w:bCs/>
        </w:rPr>
      </w:pPr>
      <w:r w:rsidRPr="00D251EB">
        <w:rPr>
          <w:b/>
          <w:bCs/>
        </w:rPr>
        <w:t>Press contact:</w:t>
      </w:r>
    </w:p>
    <w:p w14:paraId="248B7142" w14:textId="77777777" w:rsidR="00A51562" w:rsidRDefault="00A51562" w:rsidP="00AE44CB">
      <w:pPr>
        <w:pStyle w:val="KeinLeerraum"/>
        <w:ind w:left="-426"/>
      </w:pPr>
      <w:r>
        <w:t>Zechner &amp; Zechner ZTGmbH, Stumpergasse 14/23, 1060 Vienna; T: +43/1/597 03 36, www.zechner.com</w:t>
      </w:r>
    </w:p>
    <w:p w14:paraId="1484B072" w14:textId="7E725D4E" w:rsidR="00A51562" w:rsidRDefault="008C59C3" w:rsidP="00AE44CB">
      <w:pPr>
        <w:pStyle w:val="KeinLeerraum"/>
        <w:ind w:left="-426"/>
      </w:pPr>
      <w:r>
        <w:t xml:space="preserve">E: </w:t>
      </w:r>
      <w:r w:rsidR="00A51562">
        <w:t>pressinformation@zechner.com</w:t>
      </w:r>
    </w:p>
    <w:p w14:paraId="4171B31F" w14:textId="77777777" w:rsidR="00A51562" w:rsidRDefault="00A51562" w:rsidP="00AE44CB">
      <w:pPr>
        <w:pStyle w:val="KeinLeerraum"/>
        <w:ind w:left="-426"/>
      </w:pPr>
    </w:p>
    <w:sectPr w:rsidR="00A51562" w:rsidSect="00D251EB">
      <w:pgSz w:w="11906" w:h="16838"/>
      <w:pgMar w:top="851"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F0A"/>
    <w:rsid w:val="000170CD"/>
    <w:rsid w:val="00063F0A"/>
    <w:rsid w:val="0046109B"/>
    <w:rsid w:val="004B177D"/>
    <w:rsid w:val="006E289C"/>
    <w:rsid w:val="007E0B6F"/>
    <w:rsid w:val="008C59C3"/>
    <w:rsid w:val="00A51562"/>
    <w:rsid w:val="00AE44CB"/>
    <w:rsid w:val="00D251EB"/>
    <w:rsid w:val="00DC2393"/>
    <w:rsid w:val="00DE34D0"/>
    <w:rsid w:val="00F501D8"/>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876F1B"/>
  <w15:chartTrackingRefBased/>
  <w15:docId w15:val="{C04CEA93-CFF1-4407-A116-1B990EDC3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A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063F0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erschrift2">
    <w:name w:val="heading 2"/>
    <w:basedOn w:val="Standard"/>
    <w:next w:val="Standard"/>
    <w:link w:val="berschrift2Zchn"/>
    <w:uiPriority w:val="9"/>
    <w:unhideWhenUsed/>
    <w:qFormat/>
    <w:rsid w:val="00063F0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erschrift3">
    <w:name w:val="heading 3"/>
    <w:basedOn w:val="Standard"/>
    <w:next w:val="Standard"/>
    <w:link w:val="berschrift3Zchn"/>
    <w:uiPriority w:val="9"/>
    <w:semiHidden/>
    <w:unhideWhenUsed/>
    <w:qFormat/>
    <w:rsid w:val="00063F0A"/>
    <w:pPr>
      <w:keepNext/>
      <w:keepLines/>
      <w:spacing w:before="160" w:after="80"/>
      <w:outlineLvl w:val="2"/>
    </w:pPr>
    <w:rPr>
      <w:rFonts w:eastAsiaTheme="majorEastAsia" w:cstheme="majorBidi"/>
      <w:color w:val="2F5496" w:themeColor="accent1" w:themeShade="BF"/>
      <w:sz w:val="28"/>
      <w:szCs w:val="28"/>
    </w:rPr>
  </w:style>
  <w:style w:type="paragraph" w:styleId="berschrift4">
    <w:name w:val="heading 4"/>
    <w:basedOn w:val="Standard"/>
    <w:next w:val="Standard"/>
    <w:link w:val="berschrift4Zchn"/>
    <w:uiPriority w:val="9"/>
    <w:semiHidden/>
    <w:unhideWhenUsed/>
    <w:qFormat/>
    <w:rsid w:val="00063F0A"/>
    <w:pPr>
      <w:keepNext/>
      <w:keepLines/>
      <w:spacing w:before="80" w:after="40"/>
      <w:outlineLvl w:val="3"/>
    </w:pPr>
    <w:rPr>
      <w:rFonts w:eastAsiaTheme="majorEastAsia"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063F0A"/>
    <w:pPr>
      <w:keepNext/>
      <w:keepLines/>
      <w:spacing w:before="80" w:after="40"/>
      <w:outlineLvl w:val="4"/>
    </w:pPr>
    <w:rPr>
      <w:rFonts w:eastAsiaTheme="majorEastAsia" w:cstheme="majorBidi"/>
      <w:color w:val="2F5496" w:themeColor="accent1" w:themeShade="BF"/>
    </w:rPr>
  </w:style>
  <w:style w:type="paragraph" w:styleId="berschrift6">
    <w:name w:val="heading 6"/>
    <w:basedOn w:val="Standard"/>
    <w:next w:val="Standard"/>
    <w:link w:val="berschrift6Zchn"/>
    <w:uiPriority w:val="9"/>
    <w:semiHidden/>
    <w:unhideWhenUsed/>
    <w:qFormat/>
    <w:rsid w:val="00063F0A"/>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063F0A"/>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063F0A"/>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063F0A"/>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063F0A"/>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rsid w:val="00063F0A"/>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semiHidden/>
    <w:rsid w:val="00063F0A"/>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063F0A"/>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063F0A"/>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063F0A"/>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063F0A"/>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063F0A"/>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063F0A"/>
    <w:rPr>
      <w:rFonts w:eastAsiaTheme="majorEastAsia" w:cstheme="majorBidi"/>
      <w:color w:val="272727" w:themeColor="text1" w:themeTint="D8"/>
    </w:rPr>
  </w:style>
  <w:style w:type="paragraph" w:styleId="Titel">
    <w:name w:val="Title"/>
    <w:basedOn w:val="Standard"/>
    <w:next w:val="Standard"/>
    <w:link w:val="TitelZchn"/>
    <w:uiPriority w:val="10"/>
    <w:qFormat/>
    <w:rsid w:val="00063F0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063F0A"/>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063F0A"/>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063F0A"/>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063F0A"/>
    <w:pPr>
      <w:spacing w:before="160"/>
      <w:jc w:val="center"/>
    </w:pPr>
    <w:rPr>
      <w:i/>
      <w:iCs/>
      <w:color w:val="404040" w:themeColor="text1" w:themeTint="BF"/>
    </w:rPr>
  </w:style>
  <w:style w:type="character" w:customStyle="1" w:styleId="ZitatZchn">
    <w:name w:val="Zitat Zchn"/>
    <w:basedOn w:val="Absatz-Standardschriftart"/>
    <w:link w:val="Zitat"/>
    <w:uiPriority w:val="29"/>
    <w:rsid w:val="00063F0A"/>
    <w:rPr>
      <w:i/>
      <w:iCs/>
      <w:color w:val="404040" w:themeColor="text1" w:themeTint="BF"/>
    </w:rPr>
  </w:style>
  <w:style w:type="paragraph" w:styleId="Listenabsatz">
    <w:name w:val="List Paragraph"/>
    <w:basedOn w:val="Standard"/>
    <w:uiPriority w:val="34"/>
    <w:qFormat/>
    <w:rsid w:val="00063F0A"/>
    <w:pPr>
      <w:ind w:left="720"/>
      <w:contextualSpacing/>
    </w:pPr>
  </w:style>
  <w:style w:type="character" w:styleId="IntensiveHervorhebung">
    <w:name w:val="Intense Emphasis"/>
    <w:basedOn w:val="Absatz-Standardschriftart"/>
    <w:uiPriority w:val="21"/>
    <w:qFormat/>
    <w:rsid w:val="00063F0A"/>
    <w:rPr>
      <w:i/>
      <w:iCs/>
      <w:color w:val="2F5496" w:themeColor="accent1" w:themeShade="BF"/>
    </w:rPr>
  </w:style>
  <w:style w:type="paragraph" w:styleId="IntensivesZitat">
    <w:name w:val="Intense Quote"/>
    <w:basedOn w:val="Standard"/>
    <w:next w:val="Standard"/>
    <w:link w:val="IntensivesZitatZchn"/>
    <w:uiPriority w:val="30"/>
    <w:qFormat/>
    <w:rsid w:val="00063F0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ivesZitatZchn">
    <w:name w:val="Intensives Zitat Zchn"/>
    <w:basedOn w:val="Absatz-Standardschriftart"/>
    <w:link w:val="IntensivesZitat"/>
    <w:uiPriority w:val="30"/>
    <w:rsid w:val="00063F0A"/>
    <w:rPr>
      <w:i/>
      <w:iCs/>
      <w:color w:val="2F5496" w:themeColor="accent1" w:themeShade="BF"/>
    </w:rPr>
  </w:style>
  <w:style w:type="character" w:styleId="IntensiverVerweis">
    <w:name w:val="Intense Reference"/>
    <w:basedOn w:val="Absatz-Standardschriftart"/>
    <w:uiPriority w:val="32"/>
    <w:qFormat/>
    <w:rsid w:val="00063F0A"/>
    <w:rPr>
      <w:b/>
      <w:bCs/>
      <w:smallCaps/>
      <w:color w:val="2F5496" w:themeColor="accent1" w:themeShade="BF"/>
      <w:spacing w:val="5"/>
    </w:rPr>
  </w:style>
  <w:style w:type="paragraph" w:styleId="KeinLeerraum">
    <w:name w:val="No Spacing"/>
    <w:uiPriority w:val="1"/>
    <w:qFormat/>
    <w:rsid w:val="00AE44CB"/>
    <w:pPr>
      <w:spacing w:after="6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1050</Words>
  <Characters>6618</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email@zechner.com</dc:creator>
  <cp:keywords/>
  <dc:description/>
  <cp:lastModifiedBy>email@zechner.com</cp:lastModifiedBy>
  <cp:revision>7</cp:revision>
  <dcterms:created xsi:type="dcterms:W3CDTF">2026-05-01T17:25:00Z</dcterms:created>
  <dcterms:modified xsi:type="dcterms:W3CDTF">2026-05-02T10:22:00Z</dcterms:modified>
</cp:coreProperties>
</file>